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Pr="00195835" w:rsidRDefault="0048795A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F877FE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/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 w:rsidRPr="004608AD"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0"/>
                <w:szCs w:val="20"/>
              </w:rPr>
              <w:t xml:space="preserve">), место нахождения: г. Москва, ул. Ленинградский пр-т, д.49/2. </w:t>
            </w:r>
          </w:p>
          <w:p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:rsidR="001F19D5" w:rsidRPr="004608AD" w:rsidRDefault="001F19D5">
            <w:pPr>
              <w:jc w:val="both"/>
              <w:rPr>
                <w:rFonts w:ascii="Times New Roman" w:hAnsi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177FAA"/>
    <w:rsid w:val="00195835"/>
    <w:rsid w:val="001F19D5"/>
    <w:rsid w:val="004608AD"/>
    <w:rsid w:val="0048795A"/>
    <w:rsid w:val="005758C0"/>
    <w:rsid w:val="007364EF"/>
    <w:rsid w:val="007A588C"/>
    <w:rsid w:val="008F2275"/>
    <w:rsid w:val="009A3A2D"/>
    <w:rsid w:val="00B6279B"/>
    <w:rsid w:val="00C14CFF"/>
    <w:rsid w:val="00CD6AC3"/>
    <w:rsid w:val="00DB7D8D"/>
    <w:rsid w:val="00F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4D5908CCF2D4FBCBA184CD96C1FB7" ma:contentTypeVersion="2" ma:contentTypeDescription="Создание документа." ma:contentTypeScope="" ma:versionID="9adbd48f5bb9a74a2080f9a2825044fa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a3aabc3a2af51abf98659886e3cd34e5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574D0B-CF9B-4F34-ACED-97467847C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3C5A6-F484-4D04-A6BF-22A5BD520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DA91D-39CA-433F-B9A3-04855BFB5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Artur</cp:lastModifiedBy>
  <cp:revision>2</cp:revision>
  <dcterms:created xsi:type="dcterms:W3CDTF">2021-06-11T07:21:00Z</dcterms:created>
  <dcterms:modified xsi:type="dcterms:W3CDTF">2021-06-11T07:21:00Z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0x0101009A34D5908CCF2D4FBCBA184CD96C1FB7</vt:lpwstr>
  </property>
</Properties>
</file>